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6"/>
              </w:rPr>
              <w:t xml:space="preserve">Постановление Правительства Липецкой обл. от 17.01.2025 N 38</w:t>
              <w:br/>
              <w:t xml:space="preserve">(ред. от 31.03.2026)</w:t>
              <w:br/>
              <w:t xml:space="preserve">"Об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ЛИПЕЦКОЙ ОБЛАСТИ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17 января 2025 г. N 38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УСТАНОВЛЕНИИ ПОРЯДКА ОРГАНИЗАЦИИ ПРОВЕДЕНИЯ ОБСЛЕДОВАНИЯ</w:t>
      </w:r>
    </w:p>
    <w:p>
      <w:pPr>
        <w:pStyle w:val="2"/>
        <w:jc w:val="center"/>
      </w:pPr>
      <w:r>
        <w:rPr>
          <w:sz w:val="24"/>
        </w:rPr>
        <w:t xml:space="preserve">ТЕХНИЧЕСКОГО СОСТОЯНИЯ МНОГОКВАРТИРНЫХ ДОМОВ, ВКЛЮЧЕННЫХ</w:t>
      </w:r>
    </w:p>
    <w:p>
      <w:pPr>
        <w:pStyle w:val="2"/>
        <w:jc w:val="center"/>
      </w:pPr>
      <w:r>
        <w:rPr>
          <w:sz w:val="24"/>
        </w:rPr>
        <w:t xml:space="preserve">В ОБЛАСТНУЮ ПРОГРАММУ КАПИТАЛЬНОГО РЕМОНТА ОБЩЕГО ИМУЩЕСТВА</w:t>
      </w:r>
    </w:p>
    <w:p>
      <w:pPr>
        <w:pStyle w:val="2"/>
        <w:jc w:val="center"/>
      </w:pPr>
      <w:r>
        <w:rPr>
          <w:sz w:val="24"/>
        </w:rPr>
        <w:t xml:space="preserve">В МНОГОКВАРТИРНЫХ ДОМАХ, А ТАКЖЕ ПОРЯДКА УЧЕТА РЕЗУЛЬТАТОВ</w:t>
      </w:r>
    </w:p>
    <w:p>
      <w:pPr>
        <w:pStyle w:val="2"/>
        <w:jc w:val="center"/>
      </w:pPr>
      <w:r>
        <w:rPr>
          <w:sz w:val="24"/>
        </w:rPr>
        <w:t xml:space="preserve">ОБСЛЕДОВАНИЯ ТЕХНИЧЕСКОГО СОСТОЯНИЯ МНОГОКВАРТИРНЫХ ДОМОВ,</w:t>
      </w:r>
    </w:p>
    <w:p>
      <w:pPr>
        <w:pStyle w:val="2"/>
        <w:jc w:val="center"/>
      </w:pPr>
      <w:r>
        <w:rPr>
          <w:sz w:val="24"/>
        </w:rPr>
        <w:t xml:space="preserve">ВКЛЮЧЕННЫХ В ОБЛАСТНУЮ ПРОГРАММУ КАПИТАЛЬНОГО РЕМОНТА ОБЩЕГО</w:t>
      </w:r>
    </w:p>
    <w:p>
      <w:pPr>
        <w:pStyle w:val="2"/>
        <w:jc w:val="center"/>
      </w:pPr>
      <w:r>
        <w:rPr>
          <w:sz w:val="24"/>
        </w:rPr>
        <w:t xml:space="preserve">ИМУЩЕСТВА В МНОГОКВАРТИРНЫХ ДОМАХ, ПРИ ПОДГОТОВКЕ</w:t>
      </w:r>
    </w:p>
    <w:p>
      <w:pPr>
        <w:pStyle w:val="2"/>
        <w:jc w:val="center"/>
      </w:pPr>
      <w:r>
        <w:rPr>
          <w:sz w:val="24"/>
        </w:rPr>
        <w:t xml:space="preserve">И УТВЕРЖДЕНИИ ТАКОЙ ПРОГРАММЫ ИЛИ ВНЕСЕНИИ В НЕЕ ИЗМЕНЕНИЙ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Липецкой обл. от 17.03.2025 </w:t>
            </w:r>
            <w:hyperlink w:history="0" r:id="rId8" w:tooltip="Постановление Правительства Липецкой обл. от 17.03.2025 N 124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      <w:r>
                <w:rPr>
                  <w:sz w:val="24"/>
                  <w:color w:val="0000ff"/>
                </w:rPr>
                <w:t xml:space="preserve">N 124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31.03.2026 </w:t>
            </w:r>
            <w:hyperlink w:history="0" r:id="rId9" w:tooltip="Постановление Правительства Липецкой обл. от 31.03.2026 N 182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      <w:r>
                <w:rPr>
                  <w:sz w:val="24"/>
                  <w:color w:val="0000ff"/>
                </w:rPr>
                <w:t xml:space="preserve">N 182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0" w:tooltip="&quot;Жилищный кодекс Российской Федерации&quot; от 29.12.2004 N 188-ФЗ (ред. от 04.08.2026) {КонсультантПлюс}">
        <w:r>
          <w:rPr>
            <w:sz w:val="24"/>
            <w:color w:val="0000ff"/>
          </w:rPr>
          <w:t xml:space="preserve">частью 6 статьи 167</w:t>
        </w:r>
      </w:hyperlink>
      <w:r>
        <w:rPr>
          <w:sz w:val="24"/>
        </w:rPr>
        <w:t xml:space="preserve"> Жилищного кодекса Российской Федерации, </w:t>
      </w:r>
      <w:hyperlink w:history="0" r:id="rId11" w:tooltip="Закон Липецкой области от 08.10.2013 N 211-ОЗ (ред. от 22.04.2026) &quot;О правовом регулировании некоторых вопросов в сфере капитального ремонта общего имущества в многоквартирных домах&quot; (принят Липецким областным Советом депутатов 03.10.2013) {КонсультантПлюс}">
        <w:r>
          <w:rPr>
            <w:sz w:val="24"/>
            <w:color w:val="0000ff"/>
          </w:rPr>
          <w:t xml:space="preserve">статьями 2</w:t>
        </w:r>
      </w:hyperlink>
      <w:r>
        <w:rPr>
          <w:sz w:val="24"/>
        </w:rPr>
        <w:t xml:space="preserve"> и </w:t>
      </w:r>
      <w:hyperlink w:history="0" r:id="rId12" w:tooltip="Закон Липецкой области от 08.10.2013 N 211-ОЗ (ред. от 22.04.2026) &quot;О правовом регулировании некоторых вопросов в сфере капитального ремонта общего имущества в многоквартирных домах&quot; (принят Липецким областным Советом депутатов 03.10.2013) {КонсультантПлюс}">
        <w:r>
          <w:rPr>
            <w:sz w:val="24"/>
            <w:color w:val="0000ff"/>
          </w:rPr>
          <w:t xml:space="preserve">3.1</w:t>
        </w:r>
      </w:hyperlink>
      <w:r>
        <w:rPr>
          <w:sz w:val="24"/>
        </w:rPr>
        <w:t xml:space="preserve"> Закона Липецкой области от 8 октября 2013 года N 211-ОЗ "О правовом регулировании некоторых вопросов в сфере капитального ремонта общего имущества в многоквартирных домах" Правительство Липецкой области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Установить </w:t>
      </w:r>
      <w:hyperlink w:history="0" w:anchor="P50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порядок учета результатов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 (приложение).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Липецкой области</w:t>
      </w:r>
    </w:p>
    <w:p>
      <w:pPr>
        <w:pStyle w:val="0"/>
        <w:jc w:val="right"/>
      </w:pPr>
      <w:r>
        <w:rPr>
          <w:sz w:val="24"/>
        </w:rPr>
        <w:t xml:space="preserve">И.Г.АРТАМОНОВ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 Липецкой области</w:t>
      </w:r>
    </w:p>
    <w:p>
      <w:pPr>
        <w:pStyle w:val="0"/>
        <w:jc w:val="right"/>
      </w:pPr>
      <w:r>
        <w:rPr>
          <w:sz w:val="24"/>
        </w:rPr>
        <w:t xml:space="preserve">"Об установлении Порядка</w:t>
      </w:r>
    </w:p>
    <w:p>
      <w:pPr>
        <w:pStyle w:val="0"/>
        <w:jc w:val="right"/>
      </w:pPr>
      <w:r>
        <w:rPr>
          <w:sz w:val="24"/>
        </w:rPr>
        <w:t xml:space="preserve">организации проведения</w:t>
      </w:r>
    </w:p>
    <w:p>
      <w:pPr>
        <w:pStyle w:val="0"/>
        <w:jc w:val="right"/>
      </w:pPr>
      <w:r>
        <w:rPr>
          <w:sz w:val="24"/>
        </w:rPr>
        <w:t xml:space="preserve">обследования технического</w:t>
      </w:r>
    </w:p>
    <w:p>
      <w:pPr>
        <w:pStyle w:val="0"/>
        <w:jc w:val="right"/>
      </w:pPr>
      <w:r>
        <w:rPr>
          <w:sz w:val="24"/>
        </w:rPr>
        <w:t xml:space="preserve">состояния многоквартирных</w:t>
      </w:r>
    </w:p>
    <w:p>
      <w:pPr>
        <w:pStyle w:val="0"/>
        <w:jc w:val="right"/>
      </w:pPr>
      <w:r>
        <w:rPr>
          <w:sz w:val="24"/>
        </w:rPr>
        <w:t xml:space="preserve">домов, включенных в областную</w:t>
      </w:r>
    </w:p>
    <w:p>
      <w:pPr>
        <w:pStyle w:val="0"/>
        <w:jc w:val="right"/>
      </w:pPr>
      <w:r>
        <w:rPr>
          <w:sz w:val="24"/>
        </w:rPr>
        <w:t xml:space="preserve">программу капитального</w:t>
      </w:r>
    </w:p>
    <w:p>
      <w:pPr>
        <w:pStyle w:val="0"/>
        <w:jc w:val="right"/>
      </w:pPr>
      <w:r>
        <w:rPr>
          <w:sz w:val="24"/>
        </w:rPr>
        <w:t xml:space="preserve">ремонта общего имущества</w:t>
      </w:r>
    </w:p>
    <w:p>
      <w:pPr>
        <w:pStyle w:val="0"/>
        <w:jc w:val="right"/>
      </w:pPr>
      <w:r>
        <w:rPr>
          <w:sz w:val="24"/>
        </w:rPr>
        <w:t xml:space="preserve">в многоквартирных домах,</w:t>
      </w:r>
    </w:p>
    <w:p>
      <w:pPr>
        <w:pStyle w:val="0"/>
        <w:jc w:val="right"/>
      </w:pPr>
      <w:r>
        <w:rPr>
          <w:sz w:val="24"/>
        </w:rPr>
        <w:t xml:space="preserve">а также порядка учета результатов</w:t>
      </w:r>
    </w:p>
    <w:p>
      <w:pPr>
        <w:pStyle w:val="0"/>
        <w:jc w:val="right"/>
      </w:pPr>
      <w:r>
        <w:rPr>
          <w:sz w:val="24"/>
        </w:rPr>
        <w:t xml:space="preserve">обследования технического состояния</w:t>
      </w:r>
    </w:p>
    <w:p>
      <w:pPr>
        <w:pStyle w:val="0"/>
        <w:jc w:val="right"/>
      </w:pPr>
      <w:r>
        <w:rPr>
          <w:sz w:val="24"/>
        </w:rPr>
        <w:t xml:space="preserve">многоквартирных домов, включенных</w:t>
      </w:r>
    </w:p>
    <w:p>
      <w:pPr>
        <w:pStyle w:val="0"/>
        <w:jc w:val="right"/>
      </w:pPr>
      <w:r>
        <w:rPr>
          <w:sz w:val="24"/>
        </w:rPr>
        <w:t xml:space="preserve">в областную программу капитального</w:t>
      </w:r>
    </w:p>
    <w:p>
      <w:pPr>
        <w:pStyle w:val="0"/>
        <w:jc w:val="right"/>
      </w:pPr>
      <w:r>
        <w:rPr>
          <w:sz w:val="24"/>
        </w:rPr>
        <w:t xml:space="preserve">ремонта общего имущества</w:t>
      </w:r>
    </w:p>
    <w:p>
      <w:pPr>
        <w:pStyle w:val="0"/>
        <w:jc w:val="right"/>
      </w:pPr>
      <w:r>
        <w:rPr>
          <w:sz w:val="24"/>
        </w:rPr>
        <w:t xml:space="preserve">в многоквартирных домах,</w:t>
      </w:r>
    </w:p>
    <w:p>
      <w:pPr>
        <w:pStyle w:val="0"/>
        <w:jc w:val="right"/>
      </w:pPr>
      <w:r>
        <w:rPr>
          <w:sz w:val="24"/>
        </w:rPr>
        <w:t xml:space="preserve">при подготовке и утверждении</w:t>
      </w:r>
    </w:p>
    <w:p>
      <w:pPr>
        <w:pStyle w:val="0"/>
        <w:jc w:val="right"/>
      </w:pPr>
      <w:r>
        <w:rPr>
          <w:sz w:val="24"/>
        </w:rPr>
        <w:t xml:space="preserve">такой программы или внесении</w:t>
      </w:r>
    </w:p>
    <w:p>
      <w:pPr>
        <w:pStyle w:val="0"/>
        <w:jc w:val="right"/>
      </w:pPr>
      <w:r>
        <w:rPr>
          <w:sz w:val="24"/>
        </w:rPr>
        <w:t xml:space="preserve">в нее изменений"</w:t>
      </w:r>
    </w:p>
    <w:p>
      <w:pPr>
        <w:pStyle w:val="0"/>
        <w:jc w:val="both"/>
      </w:pPr>
      <w:r>
        <w:rPr>
          <w:sz w:val="24"/>
        </w:rPr>
      </w:r>
    </w:p>
    <w:bookmarkStart w:id="50" w:name="P50"/>
    <w:bookmarkEnd w:id="50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ОРГАНИЗАЦИИ ПРОВЕДЕНИЯ ОБСЛЕДОВАНИЯ ТЕХНИЧЕСКОГО СОСТОЯНИЯ</w:t>
      </w:r>
    </w:p>
    <w:p>
      <w:pPr>
        <w:pStyle w:val="2"/>
        <w:jc w:val="center"/>
      </w:pPr>
      <w:r>
        <w:rPr>
          <w:sz w:val="24"/>
        </w:rPr>
        <w:t xml:space="preserve">МНОГОКВАРТИРНЫХ ДОМОВ, ВКЛЮЧЕННЫХ В ОБЛАСТНУЮ ПРОГРАММУ</w:t>
      </w:r>
    </w:p>
    <w:p>
      <w:pPr>
        <w:pStyle w:val="2"/>
        <w:jc w:val="center"/>
      </w:pPr>
      <w:r>
        <w:rPr>
          <w:sz w:val="24"/>
        </w:rPr>
        <w:t xml:space="preserve">КАПИТАЛЬНОГО РЕМОНТА ОБЩЕГО ИМУЩЕСТВА В МНОГОКВАРТИРНЫХ</w:t>
      </w:r>
    </w:p>
    <w:p>
      <w:pPr>
        <w:pStyle w:val="2"/>
        <w:jc w:val="center"/>
      </w:pPr>
      <w:r>
        <w:rPr>
          <w:sz w:val="24"/>
        </w:rPr>
        <w:t xml:space="preserve">ДОМАХ, А ТАКЖЕ ПОРЯДОК УЧЕТА РЕЗУЛЬТАТОВ ОБСЛЕДОВАНИЯ</w:t>
      </w:r>
    </w:p>
    <w:p>
      <w:pPr>
        <w:pStyle w:val="2"/>
        <w:jc w:val="center"/>
      </w:pPr>
      <w:r>
        <w:rPr>
          <w:sz w:val="24"/>
        </w:rPr>
        <w:t xml:space="preserve">ТЕХНИЧЕСКОГО СОСТОЯНИЯ МНОГОКВАРТИРНЫХ ДОМОВ, ВКЛЮЧЕННЫХ</w:t>
      </w:r>
    </w:p>
    <w:p>
      <w:pPr>
        <w:pStyle w:val="2"/>
        <w:jc w:val="center"/>
      </w:pPr>
      <w:r>
        <w:rPr>
          <w:sz w:val="24"/>
        </w:rPr>
        <w:t xml:space="preserve">В ОБЛАСТНУЮ ПРОГРАММУ КАПИТАЛЬНОГО РЕМОНТА ОБЩЕГО ИМУЩЕСТВА</w:t>
      </w:r>
    </w:p>
    <w:p>
      <w:pPr>
        <w:pStyle w:val="2"/>
        <w:jc w:val="center"/>
      </w:pPr>
      <w:r>
        <w:rPr>
          <w:sz w:val="24"/>
        </w:rPr>
        <w:t xml:space="preserve">В МНОГОКВАРТИРНЫХ ДОМАХ, ПРИ ПОДГОТОВКЕ И УТВЕРЖДЕНИИ ТАКОЙ</w:t>
      </w:r>
    </w:p>
    <w:p>
      <w:pPr>
        <w:pStyle w:val="2"/>
        <w:jc w:val="center"/>
      </w:pPr>
      <w:r>
        <w:rPr>
          <w:sz w:val="24"/>
        </w:rPr>
        <w:t xml:space="preserve">ПРОГРАММЫ ИЛИ ВНЕСЕНИИ В НЕЕ ИЗМЕНЕНИЙ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Липецкой обл. от 17.03.2025 </w:t>
            </w:r>
            <w:hyperlink w:history="0" r:id="rId13" w:tooltip="Постановление Правительства Липецкой обл. от 17.03.2025 N 124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      <w:r>
                <w:rPr>
                  <w:sz w:val="24"/>
                  <w:color w:val="0000ff"/>
                </w:rPr>
                <w:t xml:space="preserve">N 124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31.03.2026 </w:t>
            </w:r>
            <w:hyperlink w:history="0" r:id="rId14" w:tooltip="Постановление Правительства Липецкой обл. от 31.03.2026 N 182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      <w:r>
                <w:rPr>
                  <w:sz w:val="24"/>
                  <w:color w:val="0000ff"/>
                </w:rPr>
                <w:t xml:space="preserve">N 182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устанавливает процедуру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расположенных на территории Липецкой области (далее - обследование, капитальный ремонт, областная программа, многоквартирные дома), а также порядок учета результатов обследования, при подготовке и утверждении такой программы или внесении в нее изменений (далее - Порядок).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Обследование проводится в целях обеспечения своевременного проведения капитального ремонта многоквартирных домов, оценки соответствия технического состояния таких многоквартирных домов и их систем инженерно-технического обеспечения нормативным требованиям, установленным законодательством Российской Федерации о техническом регулировании, а также определения возможности дальнейшей эксплуатации таких многоквартирных домов и (или) установления необходимости проведения капитального ремонта в таких многоквартирных домах с определением перечня и объема услуг и (или) работ по капитальному ремонту.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Обследование может проводиться в отношении всего многоквартирного дома либо отдельных элементов общего имущества в многоквартирном доме.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Настоящий Порядок не применяется в целях выполнения работ по ремонту, замене, модернизации лифтов, ремонту лифтовых шахт, машинных и блочных помещений, а также внутридомовых инженерных систем газоснабжения.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Обследование может быть проведено в случаях:</w:t>
      </w:r>
    </w:p>
    <w:bookmarkStart w:id="68" w:name="P68"/>
    <w:bookmarkEnd w:id="6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принятия исполнительным органом Липецкой области в сфере жилищно-коммунального хозяйства (далее - уполномоченный орган) решения о проведении обследования за счет средств бюджета Липецкой области в случае, если соответствующие средства на проведение указанного обследования предусмотрены законом Липецкой области об областном бюджете на текущий финансовый год и плановый период;</w:t>
      </w:r>
    </w:p>
    <w:bookmarkStart w:id="69" w:name="P69"/>
    <w:bookmarkEnd w:id="6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принятия решения общего собрания собственников помещений в многоквартирном доме в соответствии с </w:t>
      </w:r>
      <w:hyperlink w:history="0" r:id="rId15" w:tooltip="&quot;Жилищный кодекс Российской Федерации&quot; от 29.12.2004 N 188-ФЗ (ред. от 04.08.2026) {КонсультантПлюс}">
        <w:r>
          <w:rPr>
            <w:sz w:val="24"/>
            <w:color w:val="0000ff"/>
          </w:rPr>
          <w:t xml:space="preserve">пунктом 1.3 части 2 статьи 44</w:t>
        </w:r>
      </w:hyperlink>
      <w:r>
        <w:rPr>
          <w:sz w:val="24"/>
        </w:rPr>
        <w:t xml:space="preserve"> Жилищного кодекса Российской Федерации о проведении обследования за счет средств собственников помещений в этом многоквартирном доме.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Областной оператор обобщает данные о техническом состоянии многоквартирных домов, количественных и качественных характеристиках многоквартирных домов, полученные от органов местного самоуправления, формирует предложения о проведении обследования и направляет их в уполномоченный орган не реже одного раза в год до 1 ноября текущего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Решением уполномоченного органа о проведении обследования устанавливается следующая очередность проведения обследования: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 первую очередь в многоквартирных домах, включенных в краткосрочный план реализации областной программы, утвержденный Правительством Липецкой области (далее - краткосрочный план), по которым услуги и (или) работы по капитальному ремонту были запланированы ранее текущего года, но не завершены в текущем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во вторую очередь в многоквартирных домах, включенных в текущий плановый период областной программы;</w:t>
      </w:r>
    </w:p>
    <w:p>
      <w:pPr>
        <w:pStyle w:val="0"/>
        <w:jc w:val="both"/>
      </w:pPr>
      <w:r>
        <w:rPr>
          <w:sz w:val="24"/>
        </w:rPr>
        <w:t xml:space="preserve">(пп. 2 в ред. </w:t>
      </w:r>
      <w:hyperlink w:history="0" r:id="rId16" w:tooltip="Постановление Правительства Липецкой обл. от 17.03.2025 N 124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Липецкой обл. от 17.03.2025 N 124)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 третью очередь в многоквартирных домах, включенных в следующий плановый период областной программы.</w:t>
      </w:r>
    </w:p>
    <w:p>
      <w:pPr>
        <w:pStyle w:val="0"/>
        <w:jc w:val="both"/>
      </w:pPr>
      <w:r>
        <w:rPr>
          <w:sz w:val="24"/>
        </w:rPr>
        <w:t xml:space="preserve">(пп. 3 в ред. </w:t>
      </w:r>
      <w:hyperlink w:history="0" r:id="rId17" w:tooltip="Постановление Правительства Липецкой обл. от 17.03.2025 N 124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Липецкой обл. от 17.03.2025 N 124)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Решение уполномоченного органа о проведении обследования оформляется приказом и направляется областному оператору в течение 5 рабочих дней со дня подписания приказа.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основании приказа уполномоченного органа о проведении обследования вносятся изменения в краткосрочный план в части установления срока проведения обследования многоквартирного дома.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Техническим заказчиком услуг по проведению обследования при принятии решения о проведении обследования в случае, предусмотренном </w:t>
      </w:r>
      <w:hyperlink w:history="0" w:anchor="P68" w:tooltip="1) принятия исполнительным органом Липецкой области в сфере жилищно-коммунального хозяйства (далее - уполномоченный орган) решения о проведении обследования за счет средств бюджета Липецкой области в случае, если соответствующие средства на проведение указанного обследования предусмотрены законом Липецкой области об областном бюджете на текущий финансовый год и плановый период;">
        <w:r>
          <w:rPr>
            <w:sz w:val="24"/>
            <w:color w:val="0000ff"/>
          </w:rPr>
          <w:t xml:space="preserve">подпунктом 1 пункта 5</w:t>
        </w:r>
      </w:hyperlink>
      <w:r>
        <w:rPr>
          <w:sz w:val="24"/>
        </w:rPr>
        <w:t xml:space="preserve"> настоящего Порядка, выступает областной оператор.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принятии решения о проведении обследования в случае, предусмотренном </w:t>
      </w:r>
      <w:hyperlink w:history="0" w:anchor="P69" w:tooltip="2) принятия решения общего собрания собственников помещений в многоквартирном доме в соответствии с пунктом 1.3 части 2 статьи 44 Жилищного кодекса Российской Федерации о проведении обследования за счет средств собственников помещений в этом многоквартирном доме.">
        <w:r>
          <w:rPr>
            <w:sz w:val="24"/>
            <w:color w:val="0000ff"/>
          </w:rPr>
          <w:t xml:space="preserve">подпунктом 2 пункта 5</w:t>
        </w:r>
      </w:hyperlink>
      <w:r>
        <w:rPr>
          <w:sz w:val="24"/>
        </w:rPr>
        <w:t xml:space="preserve"> настоящего Порядка, собственники самостоятельно определяют технического заказчика услуг по проведению обследования или исполнителя услуг по проведению обследования с учетом особенностей, установленных в </w:t>
      </w:r>
      <w:hyperlink w:history="0" r:id="rId18" w:tooltip="&quot;Жилищный кодекс Российской Федерации&quot; от 29.12.2004 N 188-ФЗ (ред. от 04.08.2026) {КонсультантПлюс}">
        <w:r>
          <w:rPr>
            <w:sz w:val="24"/>
            <w:color w:val="0000ff"/>
          </w:rPr>
          <w:t xml:space="preserve">части 5 статьи 167</w:t>
        </w:r>
      </w:hyperlink>
      <w:r>
        <w:rPr>
          <w:sz w:val="24"/>
        </w:rPr>
        <w:t xml:space="preserve"> Жилищного кодекса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Закупочные процедуры для оказания услуг по проведению обследования осуществляются областным оператором на основании </w:t>
      </w:r>
      <w:hyperlink w:history="0" r:id="rId19" w:tooltip="Постановление Правительства РФ от 01.07.2016 N 615 (ред. от 13.03.2026) &quot;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 ------------ Недействующая редакция {КонсультантПлюс}">
        <w:r>
          <w:rPr>
            <w:sz w:val="24"/>
            <w:color w:val="0000ff"/>
          </w:rPr>
          <w:t xml:space="preserve">абзаца второго пункта 1</w:t>
        </w:r>
      </w:hyperlink>
      <w:r>
        <w:rPr>
          <w:sz w:val="24"/>
        </w:rPr>
        <w:t xml:space="preserve"> постановления Правительства Российской Федерации от 1 июля 2016 года N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закупки товаров (материалов и оборудования, в том числе высокотехнологичного оборудования), необходимых для оказания услуг и (или) выполнения работ по капитальному ремонту общего имущества в многоквартирном доме, и реализации закупленных и не использованных на проведение капитального ремонта общего имущества в многоквартирном доме товаров (материалов и оборудования, в том числе высокотехнологичного оборудования)".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Обследование осуществляется юридическими лицами, которые являются членами саморегулируемых организаций, основанных на членстве лиц, выполняющих инженерные изыскания, или членами саморегулируемых организаций, основанных на членстве лиц, осуществляющих подготовку проектной документации, в порядке, предусмотренном законодательством Российской Федерации о техническом регулировании.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обследования составляется заключение о необходимости проведения капитального ремонта по форме, установленной </w:t>
      </w:r>
      <w:hyperlink w:history="0" r:id="rId20" w:tooltip="&quot;СП 547.1325800.2025. Свод правил. Здания жилые многоквартирные. Правила установления необходимости проведения капитального ремонта&quot; (утв. и введен в действие Приказом Минстроя России от 22.09.2025 N 569/пр) {КонсультантПлюс}">
        <w:r>
          <w:rPr>
            <w:sz w:val="24"/>
            <w:color w:val="0000ff"/>
          </w:rPr>
          <w:t xml:space="preserve">Сводом правил</w:t>
        </w:r>
      </w:hyperlink>
      <w:r>
        <w:rPr>
          <w:sz w:val="24"/>
        </w:rPr>
        <w:t xml:space="preserve"> "Здания жилые многоквартирные. Правила установления необходимости проведения капитального ремонта", утвержденных приказом Министерства строительства и жилищно-коммунального хозяйства Российской Федерации от 22 сентября 2025 года N 569/пр (далее - Свод правил) или форме, установленной Межгосударственным стандартом </w:t>
      </w:r>
      <w:hyperlink w:history="0" r:id="rId21" w:tooltip="&quot;ГОСТ 31937-2024. Межгосударственный стандарт. Здания и сооружения. Правила обследования и мониторинга технического состояния&quot; (введен в действие Приказом Росстандарта от 10.04.2024 N 433-ст) {КонсультантПлюс}">
        <w:r>
          <w:rPr>
            <w:sz w:val="24"/>
            <w:color w:val="0000ff"/>
          </w:rPr>
          <w:t xml:space="preserve">ГОСТ 31937-2024</w:t>
        </w:r>
      </w:hyperlink>
      <w:r>
        <w:rPr>
          <w:sz w:val="24"/>
        </w:rPr>
        <w:t xml:space="preserve"> "Здания и сооружения. Правила обследования и мониторинга технического состояния", введенным в действие приказом Федерального агентства по техническому регулированию и метрологии от 10 апреля 2024 года N 433-ст "О введении в действие межгосударственного стандарта" (далее - ГОСТ), или по форме, установленной специализированной организацией.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" w:tooltip="Постановление Правительства Липецкой обл. от 31.03.2026 N 182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Липецкой обл. от 31.03.2026 N 182)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Областной оператор по результатам проведенных обследований вносит информацию в форму учета сведений для принятия решения о потребности в проведении капитального ремонта многоквартирного дома, в соответствии с </w:t>
      </w:r>
      <w:hyperlink w:history="0" w:anchor="P144" w:tooltip="   Форма учета сведений для принятия решения о потребности в проведении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 к настоящему Порядку (далее - форма учета сведений).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форму учета сведений включаются также результаты обследования, проведенного при оказании услуг и (или) выполнении работ по оценке технического состояния многоквартирных домов, проводимых при разработке (корректировке) проектной документации на проведение капитального ремонта в многоквартирных домах, финансируемых за счет средств фонда капитального ремонта, который сформирован исходя из минимального размера взноса на капитальный ремонт, установленного Правительством Липецкой области в отношении многоквартирных домов, включенных в краткосрочный план, а также результаты обследования, проведенного за счет иных внебюджетных источников.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3" w:tooltip="Постановление Правительства Липецкой обл. от 17.03.2025 N 124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Липецкой обл. от 17.03.2025 N 124)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Результаты обследований и форму учета сведений областной оператор представляет в уполномоченный орган до 10 числа месяца, следующего за отчетным кварталом.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О результатах обследования, если обследование было проведено в случае, предусмотренном </w:t>
      </w:r>
      <w:hyperlink w:history="0" w:anchor="P68" w:tooltip="1) принятия исполнительным органом Липецкой области в сфере жилищно-коммунального хозяйства (далее - уполномоченный орган) решения о проведении обследования за счет средств бюджета Липецкой области в случае, если соответствующие средства на проведение указанного обследования предусмотрены законом Липецкой области об областном бюджете на текущий финансовый год и плановый период;">
        <w:r>
          <w:rPr>
            <w:sz w:val="24"/>
            <w:color w:val="0000ff"/>
          </w:rPr>
          <w:t xml:space="preserve">подпунктом 1 пункта 5</w:t>
        </w:r>
      </w:hyperlink>
      <w:r>
        <w:rPr>
          <w:sz w:val="24"/>
        </w:rPr>
        <w:t xml:space="preserve"> настоящего Порядка, уполномоченный орган информирует собственников помещений в многоквартирных домах и организации, осуществляющие деятельность по управлению многоквартирными домами, в соответствии с порядком, установленным Правительством Липецкой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Результаты обследования, проведенного в случае, предусмотренном </w:t>
      </w:r>
      <w:hyperlink w:history="0" w:anchor="P69" w:tooltip="2) принятия решения общего собрания собственников помещений в многоквартирном доме в соответствии с пунктом 1.3 части 2 статьи 44 Жилищного кодекса Российской Федерации о проведении обследования за счет средств собственников помещений в этом многоквартирном доме.">
        <w:r>
          <w:rPr>
            <w:sz w:val="24"/>
            <w:color w:val="0000ff"/>
          </w:rPr>
          <w:t xml:space="preserve">подпунктом 2 пункта 5</w:t>
        </w:r>
      </w:hyperlink>
      <w:r>
        <w:rPr>
          <w:sz w:val="24"/>
        </w:rPr>
        <w:t xml:space="preserve"> настоящего Порядка, направляются в уполномоченный орган в порядке, определенном решением общего собрания собственников помещений в многоквартирном доме, и передаются им областному оператору в течение 5 рабочих дней со дня их поступления.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4" w:tooltip="Постановление Правительства Липецкой обл. от 17.03.2025 N 124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Липецкой обл. от 17.03.2025 N 124)</w:t>
      </w:r>
    </w:p>
    <w:bookmarkStart w:id="92" w:name="P92"/>
    <w:bookmarkEnd w:id="9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Уполномоченный орган осуществляет сбор результатов обследования и форм учета сведений и один раз в квартал, не позднее 20 числа месяца, следующего за отчетным кварталом, передает их на рассмотрение комиссии по установлению необходимости проведения капитального ремонта в многоквартирном доме, персональный состав и положение о которой утверждаются Правительством Липецкой области (далее - Комиссия)</w:t>
      </w:r>
      <w:r>
        <w:rPr>
          <w:sz w:val="24"/>
          <w:i w:val="on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Комиссия рассматривает документы, указанные в </w:t>
      </w:r>
      <w:hyperlink w:history="0" w:anchor="P92" w:tooltip="16. Уполномоченный орган осуществляет сбор результатов обследования и форм учета сведений и один раз в квартал, не позднее 20 числа месяца, следующего за отчетным кварталом, передает их на рассмотрение комиссии по установлению необходимости проведения капитального ремонта в многоквартирном доме, персональный состав и положение о которой утверждаются Правительством Липецкой области (далее - Комиссия).">
        <w:r>
          <w:rPr>
            <w:sz w:val="24"/>
            <w:color w:val="0000ff"/>
          </w:rPr>
          <w:t xml:space="preserve">пункте 16</w:t>
        </w:r>
      </w:hyperlink>
      <w:r>
        <w:rPr>
          <w:sz w:val="24"/>
        </w:rPr>
        <w:t xml:space="preserve"> настоящего Порядка, в течение 20 рабочих дней со дня их поступления.</w:t>
      </w:r>
    </w:p>
    <w:p>
      <w:pPr>
        <w:pStyle w:val="0"/>
        <w:jc w:val="both"/>
      </w:pPr>
      <w:r>
        <w:rPr>
          <w:sz w:val="24"/>
        </w:rPr>
        <w:t xml:space="preserve">(п. 17 в ред. </w:t>
      </w:r>
      <w:hyperlink w:history="0" r:id="rId25" w:tooltip="Постановление Правительства Липецкой обл. от 31.03.2026 N 182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Липецкой обл. от 31.03.2026 N 182)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Основаниями для отклонения и возвращения Комиссией результатов обследования и форм учета сведений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заключение по результатам обследования не соответствует форме, установленной Сводом правил, или форме, установленной ГОСТ, или форме, установленной специализированной организацией;</w:t>
      </w:r>
    </w:p>
    <w:p>
      <w:pPr>
        <w:pStyle w:val="0"/>
        <w:jc w:val="both"/>
      </w:pPr>
      <w:r>
        <w:rPr>
          <w:sz w:val="24"/>
        </w:rPr>
        <w:t xml:space="preserve">(пп. 1 в ред. </w:t>
      </w:r>
      <w:hyperlink w:history="0" r:id="rId26" w:tooltip="Постановление Правительства Липецкой обл. от 31.03.2026 N 182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Липецкой обл. от 31.03.2026 N 182)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истечение двухлетнего срока проведения обследования (по состоянию на дату официального поступления документов в уполномоченный орган);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7" w:tooltip="Постановление Правительства Липецкой обл. от 17.03.2025 N 124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Липецкой обл. от 17.03.2025 N 124)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содержание формы учета не соответствует сведениям заключения по результатам обследования.</w:t>
      </w:r>
    </w:p>
    <w:p>
      <w:pPr>
        <w:pStyle w:val="0"/>
        <w:jc w:val="both"/>
      </w:pPr>
      <w:r>
        <w:rPr>
          <w:sz w:val="24"/>
        </w:rPr>
        <w:t xml:space="preserve">(пп. 3 введен </w:t>
      </w:r>
      <w:hyperlink w:history="0" r:id="rId28" w:tooltip="Постановление Правительства Липецкой обл. от 31.03.2026 N 182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Липецкой обл. от 31.03.2026 N 182)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По итогам рассмотрения представленных документов Комиссия принимает решение об отсутствии (наличии) оснований для отклонения и возвращения рассмотренных результатов обследования и форм учета сведений, а также одно из следующих решений в зависимости от категории технического состояния либо категории необходимости проведения капитального ремонта, содержащейся в форме учета сведений (далее - решение Комиссии):</w:t>
      </w:r>
    </w:p>
    <w:bookmarkStart w:id="103" w:name="P103"/>
    <w:bookmarkEnd w:id="10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конструктивный элемент и (или) внутридомовая инженерная система многоквартирного дома не требуют проведения капитального ремонта в срок реализации краткосрочного плана и следующего за ним планового периода областной программы. Данное решение принимается в случае установления категории "А" технического состояния либо категории "1" необходимости проведения капитального ремонта;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конструктивный элемент и (или) внутридомовая инженерная система многоквартирного дома требуют проведения капитального ремонта в течение пяти лет с момента утверждения заключения о необходимости проведения капитального ремонта. Данное решение принимается в случае установления категории "Б" технического состояния либо категории "2" необходимости проведения капитального ремонта;</w:t>
      </w:r>
    </w:p>
    <w:bookmarkStart w:id="105" w:name="P105"/>
    <w:bookmarkEnd w:id="10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конструктивный элемент и (или) внутридомовая инженерная система многоквартирного дома требуют проведения капитального ремонта в течение трех лет с момента утверждения заключения о необходимости проведения капитального ремонта. Данное решение принимается в случае установления категории "В" технического состояния либо категории "3" необходимости проведения капитального ремонта;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многоквартирный дом имеет признаки либо основания для исключения из областной программы в установленном законодательством порядке. Данное решение принимается в случае установления категории "Г" технического состояния на основании выводов юридического лица, являющегося членом саморегулируемой организации, указанной в </w:t>
      </w:r>
      <w:hyperlink w:history="0" r:id="rId29" w:tooltip="&quot;Градостроительный кодекс Российской Федерации&quot; от 29.12.2004 N 190-ФЗ (ред. от 04.08.2026) {КонсультантПлюс}">
        <w:r>
          <w:rPr>
            <w:sz w:val="24"/>
            <w:color w:val="0000ff"/>
          </w:rPr>
          <w:t xml:space="preserve">пункте 2 части 4 статьи 55.26-1</w:t>
        </w:r>
      </w:hyperlink>
      <w:r>
        <w:rPr>
          <w:sz w:val="24"/>
        </w:rPr>
        <w:t xml:space="preserve"> Градостроительного кодекса Российской Федерации;</w:t>
      </w:r>
    </w:p>
    <w:bookmarkStart w:id="107" w:name="P107"/>
    <w:bookmarkEnd w:id="10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требуется проведение дополнительного обследования. Данное решение принимается в случае установления категории "4" необходимости проведения капитального ремонта либо при наличии на рассмотрении Комиссии одновременно двух (и более) результатов обследования, результаты которых не соответствуют друг другу и (или) не могут быть достаточными для принятия решения Комиссии, указанного в </w:t>
      </w:r>
      <w:hyperlink w:history="0" w:anchor="P110" w:tooltip="20. При наличии на рассмотрении Комиссии одновременно двух (и более) результатов обследования, за исключением случая, указанного в подпункте 5 пункта 19 настоящего Порядка, решение Комиссии принимается путем голосования после оценки в совокупности всех поступивших документов.">
        <w:r>
          <w:rPr>
            <w:sz w:val="24"/>
            <w:color w:val="0000ff"/>
          </w:rPr>
          <w:t xml:space="preserve">пункте 20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наличии одновременно установленных категории технического состояния и категории необходимости проведения капитального ремонта решения, указанные в </w:t>
      </w:r>
      <w:hyperlink w:history="0" w:anchor="P103" w:tooltip="1) конструктивный элемент и (или) внутридомовая инженерная система многоквартирного дома не требуют проведения капитального ремонта в срок реализации краткосрочного плана и следующего за ним планового периода областной программы. Данное решение принимается в случае установления категории &quot;А&quot; технического состояния либо категории &quot;1&quot; необходимости проведения капитального ремонта;">
        <w:r>
          <w:rPr>
            <w:sz w:val="24"/>
            <w:color w:val="0000ff"/>
          </w:rPr>
          <w:t xml:space="preserve">подпунктах 1</w:t>
        </w:r>
      </w:hyperlink>
      <w:r>
        <w:rPr>
          <w:sz w:val="24"/>
        </w:rPr>
        <w:t xml:space="preserve"> - </w:t>
      </w:r>
      <w:hyperlink w:history="0" w:anchor="P105" w:tooltip="3) конструктивный элемент и (или) внутридомовая инженерная система многоквартирного дома требуют проведения капитального ремонта в течение трех лет с момента утверждения заключения о необходимости проведения капитального ремонта. Данное решение принимается в случае установления категории &quot;В&quot; технического состояния либо категории &quot;3&quot; необходимости проведения капитального ремонта;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 настоящего пункта, принимаются на основании установленной категории необходимости проведения капитального ремонта.</w:t>
      </w:r>
    </w:p>
    <w:p>
      <w:pPr>
        <w:pStyle w:val="0"/>
        <w:jc w:val="both"/>
      </w:pPr>
      <w:r>
        <w:rPr>
          <w:sz w:val="24"/>
        </w:rPr>
        <w:t xml:space="preserve">(п. 19 в ред. </w:t>
      </w:r>
      <w:hyperlink w:history="0" r:id="rId30" w:tooltip="Постановление Правительства Липецкой обл. от 31.03.2026 N 182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Липецкой обл. от 31.03.2026 N 182)</w:t>
      </w:r>
    </w:p>
    <w:bookmarkStart w:id="110" w:name="P110"/>
    <w:bookmarkEnd w:id="11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При наличии на рассмотрении Комиссии одновременно двух (и более) результатов обследования, за исключением случая, указанного в </w:t>
      </w:r>
      <w:hyperlink w:history="0" w:anchor="P107" w:tooltip="5) требуется проведение дополнительного обследования. Данное решение принимается в случае установления категории &quot;4&quot; необходимости проведения капитального ремонта либо при наличии на рассмотрении Комиссии одновременно двух (и более) результатов обследования, результаты которых не соответствуют друг другу и (или) не могут быть достаточными для принятия решения Комиссии, указанного в пункте 20 настоящего Порядка.">
        <w:r>
          <w:rPr>
            <w:sz w:val="24"/>
            <w:color w:val="0000ff"/>
          </w:rPr>
          <w:t xml:space="preserve">подпункте 5 пункта 19</w:t>
        </w:r>
      </w:hyperlink>
      <w:r>
        <w:rPr>
          <w:sz w:val="24"/>
        </w:rPr>
        <w:t xml:space="preserve"> настоящего Порядка, решение Комиссии принимается путем голосования после оценки в совокупности всех поступивших документов.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1" w:tooltip="Постановление Правительства Липецкой обл. от 31.03.2026 N 182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Липецкой обл. от 31.03.2026 N 182)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Решение Комиссии оформляется в форме протокола и передается в уполномоченный орган в течение 5 рабочих дней со дня подписания протокола.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Утратил силу. - </w:t>
      </w:r>
      <w:hyperlink w:history="0" r:id="rId32" w:tooltip="Постановление Правительства Липецкой обл. от 17.03.2025 N 124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Липецкой обл. от 17.03.2025 N 124.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Утратил силу. - </w:t>
      </w:r>
      <w:hyperlink w:history="0" r:id="rId33" w:tooltip="Постановление Правительства Липецкой обл. от 31.03.2026 N 182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Липецкой обл. от 31.03.2026 N 182.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Если по результатам обследования были выявлены признаки либо основания для исключения многоквартирного дома из областной программы, Уполномоченный орган направляет информацию в органы местного самоуправления.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4" w:tooltip="Постановление Правительства Липецкой обл. от 31.03.2026 N 182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Липецкой обл. от 31.03.2026 N 182)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Решение Комиссии является основанием для внесения изменений в областную программу в соответствии с установленным Правительством Липецкой области порядком.</w:t>
      </w:r>
    </w:p>
    <w:p>
      <w:pPr>
        <w:pStyle w:val="0"/>
        <w:jc w:val="both"/>
      </w:pPr>
      <w:r>
        <w:rPr>
          <w:sz w:val="24"/>
        </w:rPr>
        <w:t xml:space="preserve">(п. 25 в ред. </w:t>
      </w:r>
      <w:hyperlink w:history="0" r:id="rId35" w:tooltip="Постановление Правительства Липецкой обл. от 17.03.2025 N 124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Липецкой обл. от 17.03.2025 N 124)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Порядку организации</w:t>
      </w:r>
    </w:p>
    <w:p>
      <w:pPr>
        <w:pStyle w:val="0"/>
        <w:jc w:val="right"/>
      </w:pPr>
      <w:r>
        <w:rPr>
          <w:sz w:val="24"/>
        </w:rPr>
        <w:t xml:space="preserve">проведения обследования</w:t>
      </w:r>
    </w:p>
    <w:p>
      <w:pPr>
        <w:pStyle w:val="0"/>
        <w:jc w:val="right"/>
      </w:pPr>
      <w:r>
        <w:rPr>
          <w:sz w:val="24"/>
        </w:rPr>
        <w:t xml:space="preserve">технического состояния</w:t>
      </w:r>
    </w:p>
    <w:p>
      <w:pPr>
        <w:pStyle w:val="0"/>
        <w:jc w:val="right"/>
      </w:pPr>
      <w:r>
        <w:rPr>
          <w:sz w:val="24"/>
        </w:rPr>
        <w:t xml:space="preserve">многоквартирных домов,</w:t>
      </w:r>
    </w:p>
    <w:p>
      <w:pPr>
        <w:pStyle w:val="0"/>
        <w:jc w:val="right"/>
      </w:pPr>
      <w:r>
        <w:rPr>
          <w:sz w:val="24"/>
        </w:rPr>
        <w:t xml:space="preserve">включенных в областную программу</w:t>
      </w:r>
    </w:p>
    <w:p>
      <w:pPr>
        <w:pStyle w:val="0"/>
        <w:jc w:val="right"/>
      </w:pPr>
      <w:r>
        <w:rPr>
          <w:sz w:val="24"/>
        </w:rPr>
        <w:t xml:space="preserve">капитального ремонта общего</w:t>
      </w:r>
    </w:p>
    <w:p>
      <w:pPr>
        <w:pStyle w:val="0"/>
        <w:jc w:val="right"/>
      </w:pPr>
      <w:r>
        <w:rPr>
          <w:sz w:val="24"/>
        </w:rPr>
        <w:t xml:space="preserve">имущества в многоквартирных домах,</w:t>
      </w:r>
    </w:p>
    <w:p>
      <w:pPr>
        <w:pStyle w:val="0"/>
        <w:jc w:val="right"/>
      </w:pPr>
      <w:r>
        <w:rPr>
          <w:sz w:val="24"/>
        </w:rPr>
        <w:t xml:space="preserve">а также порядку учета результатов</w:t>
      </w:r>
    </w:p>
    <w:p>
      <w:pPr>
        <w:pStyle w:val="0"/>
        <w:jc w:val="right"/>
      </w:pPr>
      <w:r>
        <w:rPr>
          <w:sz w:val="24"/>
        </w:rPr>
        <w:t xml:space="preserve">обследования технического состояния</w:t>
      </w:r>
    </w:p>
    <w:p>
      <w:pPr>
        <w:pStyle w:val="0"/>
        <w:jc w:val="right"/>
      </w:pPr>
      <w:r>
        <w:rPr>
          <w:sz w:val="24"/>
        </w:rPr>
        <w:t xml:space="preserve">многоквартирных домов, включенных</w:t>
      </w:r>
    </w:p>
    <w:p>
      <w:pPr>
        <w:pStyle w:val="0"/>
        <w:jc w:val="right"/>
      </w:pPr>
      <w:r>
        <w:rPr>
          <w:sz w:val="24"/>
        </w:rPr>
        <w:t xml:space="preserve">в областную программу капитального</w:t>
      </w:r>
    </w:p>
    <w:p>
      <w:pPr>
        <w:pStyle w:val="0"/>
        <w:jc w:val="right"/>
      </w:pPr>
      <w:r>
        <w:rPr>
          <w:sz w:val="24"/>
        </w:rPr>
        <w:t xml:space="preserve">ремонта общего имущества</w:t>
      </w:r>
    </w:p>
    <w:p>
      <w:pPr>
        <w:pStyle w:val="0"/>
        <w:jc w:val="right"/>
      </w:pPr>
      <w:r>
        <w:rPr>
          <w:sz w:val="24"/>
        </w:rPr>
        <w:t xml:space="preserve">в многоквартирных домах,</w:t>
      </w:r>
    </w:p>
    <w:p>
      <w:pPr>
        <w:pStyle w:val="0"/>
        <w:jc w:val="right"/>
      </w:pPr>
      <w:r>
        <w:rPr>
          <w:sz w:val="24"/>
        </w:rPr>
        <w:t xml:space="preserve">при подготовке и утверждении</w:t>
      </w:r>
    </w:p>
    <w:p>
      <w:pPr>
        <w:pStyle w:val="0"/>
        <w:jc w:val="right"/>
      </w:pPr>
      <w:r>
        <w:rPr>
          <w:sz w:val="24"/>
        </w:rPr>
        <w:t xml:space="preserve">такой программы или внесении</w:t>
      </w:r>
    </w:p>
    <w:p>
      <w:pPr>
        <w:pStyle w:val="0"/>
        <w:jc w:val="right"/>
      </w:pPr>
      <w:r>
        <w:rPr>
          <w:sz w:val="24"/>
        </w:rPr>
        <w:t xml:space="preserve">в нее изменений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36" w:tooltip="Постановление Правительства Липецкой обл. от 31.03.2026 N 182 &quot;О внесении изменений в постановление Правительства Липецкой области от 17 января 2025 года N 38 &quot;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Липецкой обл. от 31.03.2026 N 182)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144" w:name="P144"/>
    <w:bookmarkEnd w:id="144"/>
    <w:p>
      <w:pPr>
        <w:pStyle w:val="1"/>
        <w:jc w:val="both"/>
      </w:pPr>
      <w:r>
        <w:rPr>
          <w:sz w:val="20"/>
        </w:rPr>
        <w:t xml:space="preserve">   Форма учета сведений для принятия решения о потребности в проведении</w:t>
      </w:r>
    </w:p>
    <w:p>
      <w:pPr>
        <w:pStyle w:val="1"/>
        <w:jc w:val="both"/>
      </w:pPr>
      <w:r>
        <w:rPr>
          <w:sz w:val="20"/>
        </w:rPr>
        <w:t xml:space="preserve">        капитального ремонта общего имущества многоквартирного дома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      Таблица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964"/>
        <w:gridCol w:w="964"/>
        <w:gridCol w:w="737"/>
        <w:gridCol w:w="737"/>
        <w:gridCol w:w="907"/>
        <w:gridCol w:w="1191"/>
        <w:gridCol w:w="1247"/>
        <w:gridCol w:w="1020"/>
        <w:gridCol w:w="850"/>
        <w:gridCol w:w="850"/>
      </w:tblGrid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многоквартирного дома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Конструктивный элемент многоквартирного дома и (или) внутридомовая инженерная система *</w:t>
            </w:r>
          </w:p>
        </w:tc>
        <w:tc>
          <w:tcPr>
            <w:gridSpan w:val="8"/>
            <w:tcW w:w="75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Результаты обследования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Год ввода в эксплуатацию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площадь, кв. м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Тип конструктивного элемента **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Год капремонта конструктивного элемента и (или) внутридомовой инженерной системы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Реквизиты заключения по результатам обследования технического состояния многоквартирного дома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Категория необходимости проведения капитального ремонта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("1", "2", "3", "4") ***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Категория технического состояния ("А", "Б", "В", "Г") ****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Прогнозируемый срок капремонта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*  Элемент  и  (или)  инженерная  система по которой проведено обследование</w:t>
      </w:r>
    </w:p>
    <w:p>
      <w:pPr>
        <w:pStyle w:val="1"/>
        <w:jc w:val="both"/>
      </w:pPr>
      <w:r>
        <w:rPr>
          <w:sz w:val="20"/>
        </w:rPr>
        <w:t xml:space="preserve">технического состояния многоквартирного дома;</w:t>
      </w:r>
    </w:p>
    <w:p>
      <w:pPr>
        <w:pStyle w:val="1"/>
        <w:jc w:val="both"/>
      </w:pPr>
      <w:r>
        <w:rPr>
          <w:sz w:val="20"/>
        </w:rPr>
        <w:t xml:space="preserve">**  Тип кровли (скатная/плоская), материал наружных стен/тип отделки фасада</w:t>
      </w:r>
    </w:p>
    <w:p>
      <w:pPr>
        <w:pStyle w:val="1"/>
        <w:jc w:val="both"/>
      </w:pPr>
      <w:r>
        <w:rPr>
          <w:sz w:val="20"/>
        </w:rPr>
        <w:t xml:space="preserve">и иные типы конструктивных элементов многоквартирного дома.</w:t>
      </w:r>
    </w:p>
    <w:p>
      <w:pPr>
        <w:pStyle w:val="1"/>
        <w:jc w:val="both"/>
      </w:pPr>
      <w:r>
        <w:rPr>
          <w:sz w:val="20"/>
        </w:rPr>
        <w:t xml:space="preserve">***  Категория необходимости проведения капитального ремонта определяется в</w:t>
      </w:r>
    </w:p>
    <w:p>
      <w:pPr>
        <w:pStyle w:val="1"/>
        <w:jc w:val="both"/>
      </w:pPr>
      <w:r>
        <w:rPr>
          <w:sz w:val="20"/>
        </w:rPr>
        <w:t xml:space="preserve">соответствии  со  Сводом  правил  "Здания  жилые  многоквартирные.  Правила</w:t>
      </w:r>
    </w:p>
    <w:p>
      <w:pPr>
        <w:pStyle w:val="1"/>
        <w:jc w:val="both"/>
      </w:pPr>
      <w:r>
        <w:rPr>
          <w:sz w:val="20"/>
        </w:rPr>
        <w:t xml:space="preserve">установления  необходимости  проведения капитального ремонта", утвержденным</w:t>
      </w:r>
    </w:p>
    <w:p>
      <w:pPr>
        <w:pStyle w:val="1"/>
        <w:jc w:val="both"/>
      </w:pPr>
      <w:r>
        <w:rPr>
          <w:sz w:val="20"/>
        </w:rPr>
        <w:t xml:space="preserve">приказом   Министерства  строительства  и  жилищно-коммунального  хозяйства</w:t>
      </w:r>
    </w:p>
    <w:p>
      <w:pPr>
        <w:pStyle w:val="1"/>
        <w:jc w:val="both"/>
      </w:pPr>
      <w:r>
        <w:rPr>
          <w:sz w:val="20"/>
        </w:rPr>
        <w:t xml:space="preserve">Российской Федерации от 22 сентября 2025 года N 569/пр:</w:t>
      </w:r>
    </w:p>
    <w:p>
      <w:pPr>
        <w:pStyle w:val="1"/>
        <w:jc w:val="both"/>
      </w:pPr>
      <w:r>
        <w:rPr>
          <w:sz w:val="20"/>
        </w:rPr>
        <w:t xml:space="preserve">    "1"   -   физический   износ   конструктивного   элемента/внутридомовой</w:t>
      </w:r>
    </w:p>
    <w:p>
      <w:pPr>
        <w:pStyle w:val="1"/>
        <w:jc w:val="both"/>
      </w:pPr>
      <w:r>
        <w:rPr>
          <w:sz w:val="20"/>
        </w:rPr>
        <w:t xml:space="preserve">инженерной системы: 0% - 30%, капитальный ремонт не требуется;</w:t>
      </w:r>
    </w:p>
    <w:p>
      <w:pPr>
        <w:pStyle w:val="1"/>
        <w:jc w:val="both"/>
      </w:pPr>
      <w:r>
        <w:rPr>
          <w:sz w:val="20"/>
        </w:rPr>
        <w:t xml:space="preserve">    "2"   -   физический   износ   конструктивного   элемента/внутридомовой</w:t>
      </w:r>
    </w:p>
    <w:p>
      <w:pPr>
        <w:pStyle w:val="1"/>
        <w:jc w:val="both"/>
      </w:pPr>
      <w:r>
        <w:rPr>
          <w:sz w:val="20"/>
        </w:rPr>
        <w:t xml:space="preserve">инженерной системы: 31% - 50%, капитальный ремонт требуется;</w:t>
      </w:r>
    </w:p>
    <w:p>
      <w:pPr>
        <w:pStyle w:val="1"/>
        <w:jc w:val="both"/>
      </w:pPr>
      <w:r>
        <w:rPr>
          <w:sz w:val="20"/>
        </w:rPr>
        <w:t xml:space="preserve">    "3"   -   физический   износ   конструктивного   элемента/внутридомовой</w:t>
      </w:r>
    </w:p>
    <w:p>
      <w:pPr>
        <w:pStyle w:val="1"/>
        <w:jc w:val="both"/>
      </w:pPr>
      <w:r>
        <w:rPr>
          <w:sz w:val="20"/>
        </w:rPr>
        <w:t xml:space="preserve">инженерной  системы: 51% - 65%, капитальный ремонт требуется в приоритетном</w:t>
      </w:r>
    </w:p>
    <w:p>
      <w:pPr>
        <w:pStyle w:val="1"/>
        <w:jc w:val="both"/>
      </w:pPr>
      <w:r>
        <w:rPr>
          <w:sz w:val="20"/>
        </w:rPr>
        <w:t xml:space="preserve">порядке;</w:t>
      </w:r>
    </w:p>
    <w:p>
      <w:pPr>
        <w:pStyle w:val="1"/>
        <w:jc w:val="both"/>
      </w:pPr>
      <w:r>
        <w:rPr>
          <w:sz w:val="20"/>
        </w:rPr>
        <w:t xml:space="preserve">    "4"   -   физический   износ   конструктивного   элемента/внутридомовой</w:t>
      </w:r>
    </w:p>
    <w:p>
      <w:pPr>
        <w:pStyle w:val="1"/>
        <w:jc w:val="both"/>
      </w:pPr>
      <w:r>
        <w:rPr>
          <w:sz w:val="20"/>
        </w:rPr>
        <w:t xml:space="preserve">инженерной  системы:  более  65%,  требуется  проведение  инструментального</w:t>
      </w:r>
    </w:p>
    <w:p>
      <w:pPr>
        <w:pStyle w:val="1"/>
        <w:jc w:val="both"/>
      </w:pPr>
      <w:r>
        <w:rPr>
          <w:sz w:val="20"/>
        </w:rPr>
        <w:t xml:space="preserve">обследования  по  Межгосударственному  стандарту  </w:t>
      </w:r>
      <w:hyperlink w:history="0" r:id="rId37" w:tooltip="&quot;ГОСТ 31937-2024. Межгосударственный стандарт. Здания и сооружения. Правила обследования и мониторинга технического состояния&quot; (введен в действие Приказом Росстандарта от 10.04.2024 N 433-ст) {КонсультантПлюс}">
        <w:r>
          <w:rPr>
            <w:sz w:val="20"/>
            <w:color w:val="0000ff"/>
          </w:rPr>
          <w:t xml:space="preserve">ГОСТ 31937-2024</w:t>
        </w:r>
      </w:hyperlink>
      <w:r>
        <w:rPr>
          <w:sz w:val="20"/>
        </w:rPr>
        <w:t xml:space="preserve"> "Здания и</w:t>
      </w:r>
    </w:p>
    <w:p>
      <w:pPr>
        <w:pStyle w:val="1"/>
        <w:jc w:val="both"/>
      </w:pPr>
      <w:r>
        <w:rPr>
          <w:sz w:val="20"/>
        </w:rPr>
        <w:t xml:space="preserve">сооружения.  Правила  обследования  и  мониторинга технического состояния",</w:t>
      </w:r>
    </w:p>
    <w:p>
      <w:pPr>
        <w:pStyle w:val="1"/>
        <w:jc w:val="both"/>
      </w:pPr>
      <w:r>
        <w:rPr>
          <w:sz w:val="20"/>
        </w:rPr>
        <w:t xml:space="preserve">введенным  в  действие  приказом  Федерального  агентства  по  техническому</w:t>
      </w:r>
    </w:p>
    <w:p>
      <w:pPr>
        <w:pStyle w:val="1"/>
        <w:jc w:val="both"/>
      </w:pPr>
      <w:r>
        <w:rPr>
          <w:sz w:val="20"/>
        </w:rPr>
        <w:t xml:space="preserve">регулированию  и  метрологии  от 10 апреля 2024 года N 433-ст "О введении в</w:t>
      </w:r>
    </w:p>
    <w:p>
      <w:pPr>
        <w:pStyle w:val="1"/>
        <w:jc w:val="both"/>
      </w:pPr>
      <w:r>
        <w:rPr>
          <w:sz w:val="20"/>
        </w:rPr>
        <w:t xml:space="preserve">действие межгосударственного стандарта".</w:t>
      </w:r>
    </w:p>
    <w:p>
      <w:pPr>
        <w:pStyle w:val="1"/>
        <w:jc w:val="both"/>
      </w:pPr>
      <w:r>
        <w:rPr>
          <w:sz w:val="20"/>
        </w:rPr>
        <w:t xml:space="preserve">    ****  Категория  технического  состояния  определяется в соответствии с</w:t>
      </w:r>
    </w:p>
    <w:p>
      <w:pPr>
        <w:pStyle w:val="1"/>
        <w:jc w:val="both"/>
      </w:pPr>
      <w:r>
        <w:rPr>
          <w:sz w:val="20"/>
        </w:rPr>
        <w:t xml:space="preserve">Межгосударственным стандартом </w:t>
      </w:r>
      <w:hyperlink w:history="0" r:id="rId38" w:tooltip="&quot;ГОСТ 31937-2024. Межгосударственный стандарт. Здания и сооружения. Правила обследования и мониторинга технического состояния&quot; (введен в действие Приказом Росстандарта от 10.04.2024 N 433-ст) {КонсультантПлюс}">
        <w:r>
          <w:rPr>
            <w:sz w:val="20"/>
            <w:color w:val="0000ff"/>
          </w:rPr>
          <w:t xml:space="preserve">ГОСТ 31937-2024</w:t>
        </w:r>
      </w:hyperlink>
      <w:r>
        <w:rPr>
          <w:sz w:val="20"/>
        </w:rPr>
        <w:t xml:space="preserve"> "Здания и сооружения. Правила</w:t>
      </w:r>
    </w:p>
    <w:p>
      <w:pPr>
        <w:pStyle w:val="1"/>
        <w:jc w:val="both"/>
      </w:pPr>
      <w:r>
        <w:rPr>
          <w:sz w:val="20"/>
        </w:rPr>
        <w:t xml:space="preserve">обследования  и  мониторинга  технического состояния", введенным в действие</w:t>
      </w:r>
    </w:p>
    <w:p>
      <w:pPr>
        <w:pStyle w:val="1"/>
        <w:jc w:val="both"/>
      </w:pPr>
      <w:r>
        <w:rPr>
          <w:sz w:val="20"/>
        </w:rPr>
        <w:t xml:space="preserve">приказом  Федерального агентства по техническому регулированию и метрологии</w:t>
      </w:r>
    </w:p>
    <w:p>
      <w:pPr>
        <w:pStyle w:val="1"/>
        <w:jc w:val="both"/>
      </w:pPr>
      <w:r>
        <w:rPr>
          <w:sz w:val="20"/>
        </w:rPr>
        <w:t xml:space="preserve">от  10 апреля 2024 года N 433-ст "О введении в действие межгосударственного</w:t>
      </w:r>
    </w:p>
    <w:p>
      <w:pPr>
        <w:pStyle w:val="1"/>
        <w:jc w:val="both"/>
      </w:pPr>
      <w:r>
        <w:rPr>
          <w:sz w:val="20"/>
        </w:rPr>
        <w:t xml:space="preserve">стандарта":</w:t>
      </w:r>
    </w:p>
    <w:p>
      <w:pPr>
        <w:pStyle w:val="1"/>
        <w:jc w:val="both"/>
      </w:pPr>
      <w:r>
        <w:rPr>
          <w:sz w:val="20"/>
        </w:rPr>
        <w:t xml:space="preserve">    "А" - в нормативном техническом состоянии;</w:t>
      </w:r>
    </w:p>
    <w:p>
      <w:pPr>
        <w:pStyle w:val="1"/>
        <w:jc w:val="both"/>
      </w:pPr>
      <w:r>
        <w:rPr>
          <w:sz w:val="20"/>
        </w:rPr>
        <w:t xml:space="preserve">    "Б" - работоспособном техническом состоянии;</w:t>
      </w:r>
    </w:p>
    <w:p>
      <w:pPr>
        <w:pStyle w:val="1"/>
        <w:jc w:val="both"/>
      </w:pPr>
      <w:r>
        <w:rPr>
          <w:sz w:val="20"/>
        </w:rPr>
        <w:t xml:space="preserve">    "В" - ограниченно работоспособном техническом состоянии;</w:t>
      </w:r>
    </w:p>
    <w:p>
      <w:pPr>
        <w:pStyle w:val="1"/>
        <w:jc w:val="both"/>
      </w:pPr>
      <w:r>
        <w:rPr>
          <w:sz w:val="20"/>
        </w:rPr>
        <w:t xml:space="preserve">    "Г" - аварийном техническом состоянии.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Липецкой обл. от 17.01.2025 N 38</w:t>
            <w:br/>
            <w:t>(ред. от 31.03.2026)</w:t>
            <w:br/>
            <w:t>"Об установлении Порядка организации 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20&amp;n=143921&amp;date=19.08.2026&amp;dst=100005&amp;field=134" TargetMode = "External"/><Relationship Id="rId9" Type="http://schemas.openxmlformats.org/officeDocument/2006/relationships/hyperlink" Target="https://login.consultant.ru/link/?req=doc&amp;base=RLAW220&amp;n=151388&amp;date=19.08.2026&amp;dst=100005&amp;field=134" TargetMode = "External"/><Relationship Id="rId10" Type="http://schemas.openxmlformats.org/officeDocument/2006/relationships/hyperlink" Target="https://login.consultant.ru/link/?req=doc&amp;base=LAW&amp;n=541108&amp;date=19.08.2026&amp;dst=1206&amp;field=134" TargetMode = "External"/><Relationship Id="rId11" Type="http://schemas.openxmlformats.org/officeDocument/2006/relationships/hyperlink" Target="https://login.consultant.ru/link/?req=doc&amp;base=RLAW220&amp;n=151822&amp;date=19.08.2026&amp;dst=100299&amp;field=134" TargetMode = "External"/><Relationship Id="rId12" Type="http://schemas.openxmlformats.org/officeDocument/2006/relationships/hyperlink" Target="https://login.consultant.ru/link/?req=doc&amp;base=RLAW220&amp;n=151822&amp;date=19.08.2026&amp;dst=100341&amp;field=134" TargetMode = "External"/><Relationship Id="rId13" Type="http://schemas.openxmlformats.org/officeDocument/2006/relationships/hyperlink" Target="https://login.consultant.ru/link/?req=doc&amp;base=RLAW220&amp;n=143921&amp;date=19.08.2026&amp;dst=100006&amp;field=134" TargetMode = "External"/><Relationship Id="rId14" Type="http://schemas.openxmlformats.org/officeDocument/2006/relationships/hyperlink" Target="https://login.consultant.ru/link/?req=doc&amp;base=RLAW220&amp;n=151388&amp;date=19.08.2026&amp;dst=100006&amp;field=134" TargetMode = "External"/><Relationship Id="rId15" Type="http://schemas.openxmlformats.org/officeDocument/2006/relationships/hyperlink" Target="https://login.consultant.ru/link/?req=doc&amp;base=LAW&amp;n=541108&amp;date=19.08.2026&amp;dst=1313&amp;field=134" TargetMode = "External"/><Relationship Id="rId16" Type="http://schemas.openxmlformats.org/officeDocument/2006/relationships/hyperlink" Target="https://login.consultant.ru/link/?req=doc&amp;base=RLAW220&amp;n=143921&amp;date=19.08.2026&amp;dst=100007&amp;field=134" TargetMode = "External"/><Relationship Id="rId17" Type="http://schemas.openxmlformats.org/officeDocument/2006/relationships/hyperlink" Target="https://login.consultant.ru/link/?req=doc&amp;base=RLAW220&amp;n=143921&amp;date=19.08.2026&amp;dst=100009&amp;field=134" TargetMode = "External"/><Relationship Id="rId18" Type="http://schemas.openxmlformats.org/officeDocument/2006/relationships/hyperlink" Target="https://login.consultant.ru/link/?req=doc&amp;base=LAW&amp;n=541108&amp;date=19.08.2026&amp;dst=1202&amp;field=134" TargetMode = "External"/><Relationship Id="rId19" Type="http://schemas.openxmlformats.org/officeDocument/2006/relationships/hyperlink" Target="https://login.consultant.ru/link/?req=doc&amp;base=LAW&amp;n=528731&amp;date=19.08.2026&amp;dst=177&amp;field=134" TargetMode = "External"/><Relationship Id="rId20" Type="http://schemas.openxmlformats.org/officeDocument/2006/relationships/hyperlink" Target="https://login.consultant.ru/link/?req=doc&amp;base=STR&amp;n=36266&amp;date=19.08.2026" TargetMode = "External"/><Relationship Id="rId21" Type="http://schemas.openxmlformats.org/officeDocument/2006/relationships/hyperlink" Target="https://login.consultant.ru/link/?req=doc&amp;base=STR&amp;n=33285&amp;date=19.08.2026" TargetMode = "External"/><Relationship Id="rId22" Type="http://schemas.openxmlformats.org/officeDocument/2006/relationships/hyperlink" Target="https://login.consultant.ru/link/?req=doc&amp;base=RLAW220&amp;n=151388&amp;date=19.08.2026&amp;dst=100007&amp;field=134" TargetMode = "External"/><Relationship Id="rId23" Type="http://schemas.openxmlformats.org/officeDocument/2006/relationships/hyperlink" Target="https://login.consultant.ru/link/?req=doc&amp;base=RLAW220&amp;n=143921&amp;date=19.08.2026&amp;dst=100010&amp;field=134" TargetMode = "External"/><Relationship Id="rId24" Type="http://schemas.openxmlformats.org/officeDocument/2006/relationships/hyperlink" Target="https://login.consultant.ru/link/?req=doc&amp;base=RLAW220&amp;n=143921&amp;date=19.08.2026&amp;dst=100011&amp;field=134" TargetMode = "External"/><Relationship Id="rId25" Type="http://schemas.openxmlformats.org/officeDocument/2006/relationships/hyperlink" Target="https://login.consultant.ru/link/?req=doc&amp;base=RLAW220&amp;n=151388&amp;date=19.08.2026&amp;dst=100009&amp;field=134" TargetMode = "External"/><Relationship Id="rId26" Type="http://schemas.openxmlformats.org/officeDocument/2006/relationships/hyperlink" Target="https://login.consultant.ru/link/?req=doc&amp;base=RLAW220&amp;n=151388&amp;date=19.08.2026&amp;dst=100012&amp;field=134" TargetMode = "External"/><Relationship Id="rId27" Type="http://schemas.openxmlformats.org/officeDocument/2006/relationships/hyperlink" Target="https://login.consultant.ru/link/?req=doc&amp;base=RLAW220&amp;n=143921&amp;date=19.08.2026&amp;dst=100014&amp;field=134" TargetMode = "External"/><Relationship Id="rId28" Type="http://schemas.openxmlformats.org/officeDocument/2006/relationships/hyperlink" Target="https://login.consultant.ru/link/?req=doc&amp;base=RLAW220&amp;n=151388&amp;date=19.08.2026&amp;dst=100014&amp;field=134" TargetMode = "External"/><Relationship Id="rId29" Type="http://schemas.openxmlformats.org/officeDocument/2006/relationships/hyperlink" Target="https://login.consultant.ru/link/?req=doc&amp;base=LAW&amp;n=541132&amp;date=19.08.2026&amp;dst=3846&amp;field=134" TargetMode = "External"/><Relationship Id="rId30" Type="http://schemas.openxmlformats.org/officeDocument/2006/relationships/hyperlink" Target="https://login.consultant.ru/link/?req=doc&amp;base=RLAW220&amp;n=151388&amp;date=19.08.2026&amp;dst=100016&amp;field=134" TargetMode = "External"/><Relationship Id="rId31" Type="http://schemas.openxmlformats.org/officeDocument/2006/relationships/hyperlink" Target="https://login.consultant.ru/link/?req=doc&amp;base=RLAW220&amp;n=151388&amp;date=19.08.2026&amp;dst=100024&amp;field=134" TargetMode = "External"/><Relationship Id="rId32" Type="http://schemas.openxmlformats.org/officeDocument/2006/relationships/hyperlink" Target="https://login.consultant.ru/link/?req=doc&amp;base=RLAW220&amp;n=143921&amp;date=19.08.2026&amp;dst=100015&amp;field=134" TargetMode = "External"/><Relationship Id="rId33" Type="http://schemas.openxmlformats.org/officeDocument/2006/relationships/hyperlink" Target="https://login.consultant.ru/link/?req=doc&amp;base=RLAW220&amp;n=151388&amp;date=19.08.2026&amp;dst=100025&amp;field=134" TargetMode = "External"/><Relationship Id="rId34" Type="http://schemas.openxmlformats.org/officeDocument/2006/relationships/hyperlink" Target="https://login.consultant.ru/link/?req=doc&amp;base=RLAW220&amp;n=151388&amp;date=19.08.2026&amp;dst=100026&amp;field=134" TargetMode = "External"/><Relationship Id="rId35" Type="http://schemas.openxmlformats.org/officeDocument/2006/relationships/hyperlink" Target="https://login.consultant.ru/link/?req=doc&amp;base=RLAW220&amp;n=143921&amp;date=19.08.2026&amp;dst=100016&amp;field=134" TargetMode = "External"/><Relationship Id="rId36" Type="http://schemas.openxmlformats.org/officeDocument/2006/relationships/hyperlink" Target="https://login.consultant.ru/link/?req=doc&amp;base=RLAW220&amp;n=151388&amp;date=19.08.2026&amp;dst=100027&amp;field=134" TargetMode = "External"/><Relationship Id="rId37" Type="http://schemas.openxmlformats.org/officeDocument/2006/relationships/hyperlink" Target="https://login.consultant.ru/link/?req=doc&amp;base=STR&amp;n=33285&amp;date=19.08.2026" TargetMode = "External"/><Relationship Id="rId38" Type="http://schemas.openxmlformats.org/officeDocument/2006/relationships/hyperlink" Target="https://login.consultant.ru/link/?req=doc&amp;base=STR&amp;n=33285&amp;date=19.08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Липецкой обл. от 17.01.2025 N 38
(ред. от 31.03.2026)
"Об установлении Порядка организации проведения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а также порядка учета результатов обследования технического состояния многоквартирных домов, включенных в областную программу капитального ремонта общего имущества в многоквартирных домах, при подготовке и утверждении такой про</dc:title>
  <dcterms:created xsi:type="dcterms:W3CDTF">2026-08-19T11:21:02Z</dcterms:created>
</cp:coreProperties>
</file>